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SN-9531 (Sachsen) — Schutzzweck</w:t>
      </w:r>
    </w:p>
    <w:p>
      <w:r>
        <w:rPr>
          <w:color w:val="555555"/>
          <w:sz w:val="18"/>
        </w:rPr>
        <w:t xml:space="preserve">Verordnung des Regierungspräsidiums Chemnitz zur Festsetzung des Naturschutzgebietes „Hermannsdorfer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ist:</w:t>
      </w:r>
    </w:p>
    <w:p>
      <w:r>
        <w:t xml:space="preserve">1. die Erhaltung oder, soweit aktuell nicht gewährleistet, die Wiederherstellung eines günstigen Erhaltungszustands aller im Naturschutzgebiet vorkommenden natürlichen und naturnahen Lebensräume von gemeinschaftlichem Interesse gemäß Anhang I der FFH-RL, insbesondere der</w:t>
      </w:r>
    </w:p>
    <w:p>
      <w:r>
        <w:t xml:space="preserve">–</w:t>
      </w:r>
    </w:p>
    <w:p>
      <w:r>
        <w:t xml:space="preserve">trockenen Heiden (Lebensraumtyp 4030),</w:t>
      </w:r>
    </w:p>
    <w:p>
      <w:r>
        <w:t xml:space="preserve">–</w:t>
      </w:r>
    </w:p>
    <w:p>
      <w:r>
        <w:t xml:space="preserve">artenreichen montanen Borstgrasrasen auf Silikatböden (prioritärer Lebensraumtyp 6230*),</w:t>
      </w:r>
    </w:p>
    <w:p>
      <w:r>
        <w:t xml:space="preserve">–</w:t>
      </w:r>
    </w:p>
    <w:p>
      <w:r>
        <w:t xml:space="preserve">Birken-Moorwälder (prioritärer Lebensraumtyp 91D1*),</w:t>
      </w:r>
    </w:p>
    <w:p>
      <w:r>
        <w:t xml:space="preserve">–</w:t>
      </w:r>
    </w:p>
    <w:p>
      <w:r>
        <w:t xml:space="preserve">Montane Fichtenwälder (Lebensraumtyp 9410),</w:t>
      </w:r>
    </w:p>
    <w:p>
      <w:r>
        <w:t xml:space="preserve">–</w:t>
      </w:r>
    </w:p>
    <w:p>
      <w:r>
        <w:t xml:space="preserve">Erlen-, Eschen- und Weichholzauenwälder an Fließgewässern (prioritärer Lebensraumtyp 91E0*),</w:t>
      </w:r>
    </w:p>
    <w:p>
      <w:r>
        <w:t xml:space="preserve">–</w:t>
      </w:r>
    </w:p>
    <w:p>
      <w:r>
        <w:t xml:space="preserve">dystrophen Stillgewässer (Lebensraumtyp 3160),</w:t>
      </w:r>
    </w:p>
    <w:p>
      <w:r>
        <w:t xml:space="preserve">–</w:t>
      </w:r>
    </w:p>
    <w:p>
      <w:r>
        <w:t xml:space="preserve">Fließgewässer mit Unterwasservegetation (Lebensraumtyp 3260),</w:t>
      </w:r>
    </w:p>
    <w:p>
      <w:r>
        <w:t xml:space="preserve">–</w:t>
      </w:r>
    </w:p>
    <w:p>
      <w:r>
        <w:t xml:space="preserve">Pfeifengraswiesen torfiger und tonig-schluffiger Böden (Lebensraumtyp 6410),</w:t>
      </w:r>
    </w:p>
    <w:p>
      <w:r>
        <w:t xml:space="preserve">–</w:t>
      </w:r>
    </w:p>
    <w:p>
      <w:r>
        <w:t xml:space="preserve">feuchten Hochstaudenfluren der planaren Stufe (Lebensraumtyp 6430),</w:t>
      </w:r>
    </w:p>
    <w:p>
      <w:r>
        <w:t xml:space="preserve">–</w:t>
      </w:r>
    </w:p>
    <w:p>
      <w:r>
        <w:t xml:space="preserve">Berg-Mähwiesen (Lebensraumtyp 6520),</w:t>
      </w:r>
    </w:p>
    <w:p>
      <w:r>
        <w:t xml:space="preserve">–</w:t>
      </w:r>
    </w:p>
    <w:p>
      <w:r>
        <w:t xml:space="preserve">Übergangs- und Schwingrasenmoore (Lebensraumtyp 7140)</w:t>
      </w:r>
    </w:p>
    <w:p>
      <w:r>
        <w:t xml:space="preserve">sowie weiterer mit ihnen räumlich und funktional verknüpfter, regionaltypischer Lebensräume wie zum Beispiel kleinflächiger Fichten-Moorwälder, die für die Erhaltung der Kohärenz des Schutzgebietssystems NATURA 2000 von großer Bedeutung sind;</w:t>
      </w:r>
    </w:p>
    <w:p>
      <w:r>
        <w:t xml:space="preserve">2. die Erhaltung oder, soweit aktuell nicht gewährleistet, die Wiederherstellung eines günstigen Erhaltungszustands der im Naturschutzgebiet vorkommenden Population des Firnisglänzenden Sichelmooses ( Hamatocaulis vernicosus ) als Pflanzenart von gemeinschaftlichem Interesse gemäß Anhang II der FFH-RL sowie des Bachneunauges ( Lampetra planeri ) als Tierart von gemeinschaftlichem Interesse gemäß Anhang II der FFH-RL;</w:t>
      </w:r>
    </w:p>
    <w:p>
      <w:r>
        <w:t xml:space="preserve">3. die Erhaltung und Entwicklung von Lebensräumen als Grundlage für die Besiedelung durch die Westgroppe ( Cottus gobio ), den Abbiss-Scheckenfalter ( Euphydryas aurinia ) und die Große Moosjungfer ( Leucorrhinia pectoralis ) als Tierarten von gemeinschaftlichem Interesse gemäß Anhang II der FFH-RL;</w:t>
      </w:r>
    </w:p>
    <w:p>
      <w:r>
        <w:t xml:space="preserve">4. die Wiederherstellung optimaler Habitate für den Torfmoos-Laufkäfer ( Carabus menetriesi pacholei );</w:t>
      </w:r>
    </w:p>
    <w:p>
      <w:r>
        <w:t xml:space="preserve">5. die Erhaltung des im Naturschutzgebiet reich gegliederten Mosaiks aus naturnahen Fließ- und Stillgewässern, Mager-, Feucht- und Nasswiesen, Hochstaudenfluren, Zwischenmooren und anderen attraktiven Lebensräumen – einschließlich der für diese charakteristischen oder seltenen Arten – wegen seiner Seltenheit und im Vergleich mit der Umgebung besonderen Eigenart und hervorragenden Schönheit;</w:t>
      </w:r>
    </w:p>
    <w:p>
      <w:r>
        <w:t xml:space="preserve">6. die Erhaltung einzigartiger Landschaftspotenziale und Zönosen für die wissenschaftliche, naturgeschichtliche und landeskundliche Forschung.</w:t>
      </w:r>
    </w:p>
    <w:p>
      <w:r>
        <w:t xml:space="preserve">(2) Die Schutzzwecke nach Absatz 1 Nr. 1 bis 4 tragen den durch das Staatsministerium für Umwelt und Landwirtschaft für das FFH-Gebiet „Moore und Mittelgebirgslandschaft bei Elterlein“ aufgestellten Erhaltungszielen Rechnung und sollen damit die Sicherung eines bedeutenden Teil dieses Schutzgebietes als Bestandteil des Europäischen Schutzgebietssystems NATURA 2000 bewirken.</w:t>
      </w:r>
    </w:p>
    <w:p>
      <w:r>
        <w:t xml:space="preserve">(3) Die Bestimmungen der Verordnung des Regierungspräsidiums Chemnitz zur Bestimmung des Europäischen Vogelschutzgebietes „Geyersche Platte“ bleiben unberührt.</w:t>
      </w:r>
    </w:p>
    <w:p>
      <w:r>
        <w:rPr>
          <w:color w:val="555555"/>
          <w:sz w:val="17"/>
        </w:rPr>
        <w:t xml:space="preserve">Zitiervorschlag: § 3 SN-9531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