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SN-9531 (Sachsen) — Inkrafttreten</w:t>
      </w:r>
    </w:p>
    <w:p>
      <w:r>
        <w:rPr>
          <w:color w:val="555555"/>
          <w:sz w:val="18"/>
        </w:rPr>
        <w:t xml:space="preserve">Verordnung des Regierungspräsidiums Chemnitz zur Festsetzung des Naturschutzgebietes „Hermannsdorfer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im Sinne von § 2 Abs. 7 in Kraft.</w:t>
      </w:r>
    </w:p>
    <w:p>
      <w:r>
        <w:t xml:space="preserve">Chemnitz, den 22. Mai 2007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11 SN-9531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https://recht.nulegal.eu/gesetze/SN-9531/11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