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SN-9416 (Sachsen)</w:t>
      </w:r>
    </w:p>
    <w:p>
      <w:r>
        <w:rPr>
          <w:color w:val="555555"/>
          <w:sz w:val="18"/>
        </w:rPr>
        <w:t xml:space="preserve">Gesetz zum Staatsvertrag zwischen dem Land Brandenburg und den Ländern Mecklenburg-Vorpommern, Sachsen-Anhalt und den Freistaaten Sachsen und Thüringen zur Errichtung der Übertragungsstelle Ost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Artikel 11 Abs. 3 in Kraft tritt, ist im Sächsischen Gesetz- und Verordnungsblatt bekannt zu machen.</w:t>
      </w:r>
    </w:p>
    <w:p>
      <w:r>
        <w:t xml:space="preserve">Dresden, den 9. Mai 2007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Georg Milbradt</w:t>
      </w:r>
    </w:p>
    <w:p>
      <w:r>
        <w:t xml:space="preserve">Der Staatsminister für Umwelt und Landwirtschaft</w:t>
      </w:r>
    </w:p>
    <w:p>
      <w:r>
        <w:t xml:space="preserve">Stanislaw Tillich</w:t>
      </w:r>
    </w:p>
    <w:p>
      <w:r>
        <w:rPr>
          <w:color w:val="555555"/>
          <w:sz w:val="17"/>
        </w:rPr>
        <w:t xml:space="preserve">Zitiervorschlag: Artikel 2 SN-9416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https://recht.nulegal.eu/gesetze/SN-9416/2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