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SN-9344 (Sachsen) — Bestimmung des elektronischen Auskunftssystems</w:t>
      </w:r>
    </w:p>
    <w:p>
      <w:r>
        <w:rPr>
          <w:color w:val="555555"/>
          <w:sz w:val="18"/>
        </w:rPr>
        <w:t xml:space="preserve">Staatsvertrag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 bestimmt das Registerportal als das länderübergreifende, zentrale elektronische Informations- und Kommunikationssystem im Sinne von § 9 Abs. 1 S. 4 Handelsgesetzbuch , über das die Daten aus dem Handelsregister, Genossen-schaftsregister und Partnerschaftsregister der Amtsgerichte des Freistaates Sachsen abrufbar sind. Die Berechtigung, weitere Zugangsmöglichkeiten zu den Registerdaten zu eröffnen, bleibt hiervon unberührt.</w:t>
      </w:r>
    </w:p>
    <w:p>
      <w:r>
        <w:rPr>
          <w:color w:val="555555"/>
          <w:sz w:val="17"/>
        </w:rPr>
        <w:t xml:space="preserve">Zitiervorschlag: Artikel 2 SN-9344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https://recht.nulegal.eu/gesetze/SN-9344/2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