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SN-9344 (Sachsen) — Inkrafttreten und Kündigung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der Ratifikation. Er tritt nach Zustimmung der verfassungsmäßig berufenen Organe der vertragsschließenden Länder und Hinterlegung der Ratifikationsurkunden in der Staatskanzlei des Landes Nordrhein-Westfalen frühestens am 1. Januar 2007 in Kraft, andernfalls am ersten Tag des Monats, der auf den Monat der Hinterlegung der letzten Ratifikationsurkunde in der Staatskanzlei des Landes Nordrhein-Westfalen folgt.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Düsseldorf, den 8. Januar 2007</w:t>
      </w:r>
    </w:p>
    <w:p>
      <w:r>
        <w:t xml:space="preserve">Für das Land Nordrhein-Westfalen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Roswitha Müller-Piepenkötter</w:t>
      </w:r>
    </w:p>
    <w:p>
      <w:r>
        <w:t xml:space="preserve">Dresden, den 16. Januar 2007</w:t>
      </w:r>
    </w:p>
    <w:p>
      <w:r>
        <w:t xml:space="preserve">Für den Freistaat Sachsen</w:t>
      </w:r>
    </w:p>
    <w:p>
      <w:r>
        <w:t xml:space="preserve">In Vertretung des Ministerpräsidenten</w:t>
      </w:r>
    </w:p>
    <w:p>
      <w:r>
        <w:t xml:space="preserve">Der Staatsminister der Justiz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Artikel 13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