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 SN-9344 (Sachsen) — Kosten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erstattet dem Land Nordrhein-Westfalen den ihm durch diesen Vertrag entstehenden Aufwand. Die Höhe wird durch gesonderte Dienstleistungsvereinbarung festgelegt. Der Freistaat Sachsen erstattet dem Land Nordrhein-Westfalen auch die Gebühren des Vollstreckungsverfahrens.</w:t>
      </w:r>
    </w:p>
    <w:p>
      <w:r>
        <w:rPr>
          <w:color w:val="555555"/>
          <w:sz w:val="17"/>
        </w:rPr>
        <w:t xml:space="preserve">Zitiervorschlag: Artikel 11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