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SN-9337 (Sachsen)</w:t>
      </w:r>
    </w:p>
    <w:p>
      <w:r>
        <w:rPr>
          <w:color w:val="555555"/>
          <w:sz w:val="18"/>
        </w:rPr>
        <w:t xml:space="preserve">Gesetz zu dem 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9 Satz 2 in Kraft tritt, ist durch die Staatskanzlei im Sächsischen Gesetz- und Verordnungsblatt bekannt zu machen.</w:t>
      </w:r>
    </w:p>
    <w:p>
      <w:r>
        <w:t xml:space="preserve">Dresden, den 10. April 2007</w:t>
      </w:r>
    </w:p>
    <w:p>
      <w:r>
        <w:t xml:space="preserve">Der Landtagspräsident</w:t>
      </w:r>
    </w:p>
    <w:p>
      <w:r>
        <w:t xml:space="preserve">Erich Iltgen Der Ministerpräsident</w:t>
      </w:r>
    </w:p>
    <w:p>
      <w:r>
        <w:t xml:space="preserve">Prof. Dr. Georg Milbradt Der Staatsminister der Justiz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Artikel 2 SN-9337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