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SN-9336 (Sachsen)</w:t>
      </w:r>
    </w:p>
    <w:p>
      <w:r>
        <w:rPr>
          <w:color w:val="555555"/>
          <w:sz w:val="18"/>
        </w:rPr>
        <w:t xml:space="preserve">Staatsvertrag über die Errichtung eines gemeinsamen Mahngerichts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 Regelungen dieses Staatsvertrages wird die Zuständigkeit für Mahnverfahren nicht berührt, bei denen der Antrag auf Erlass eines Mahnbescheides vor dem Tag des Inkrafttretens gemäß Artikel 9 Satz 2 eingereicht oder angebracht ist.</w:t>
      </w:r>
    </w:p>
    <w:p>
      <w:r>
        <w:rPr>
          <w:color w:val="555555"/>
          <w:sz w:val="17"/>
        </w:rPr>
        <w:t xml:space="preserve">Zitiervorschlag: Artikel 7 SN-9336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https://recht.nulegal.eu/gesetze/SN-9336/7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