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SN-9336 (Sachsen)</w:t>
      </w:r>
    </w:p>
    <w:p>
      <w:r>
        <w:rPr>
          <w:color w:val="555555"/>
          <w:sz w:val="18"/>
        </w:rPr>
        <w:t xml:space="preserve">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Mahnverfahren werden beim Amtsgericht Aschersleben maschinell bearbeitet.</w:t>
      </w:r>
    </w:p>
    <w:p>
      <w:r>
        <w:t xml:space="preserve">(2) Das Land Sachsen-Anhalt stattet das gemeinsame Mahngericht mit Personal und Sachmitteln aus.</w:t>
      </w:r>
    </w:p>
    <w:p>
      <w:r>
        <w:rPr>
          <w:color w:val="555555"/>
          <w:sz w:val="17"/>
        </w:rPr>
        <w:t xml:space="preserve">Zitiervorschlag: Artikel 2 SN-9336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