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SN-9335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13 Abs. 1 Satz 2 in Kraft tritt, ist im Sächsischen Gesetz- und Verordnungsblatt bekannt zu machen.</w:t>
      </w:r>
    </w:p>
    <w:p>
      <w:r>
        <w:t xml:space="preserve">Dresden, den 10. April 2007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Justiz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Artikel 2 SN-9335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