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SN-9298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16, § 22a Abs. 1, 2 und § 50 Abs. 1 Nr. 2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