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SN-9298 (Sachsen) — Grundzüge der Pflege und Entwicklung</w:t>
      </w:r>
    </w:p>
    <w:p>
      <w:r>
        <w:rPr>
          <w:color w:val="555555"/>
          <w:sz w:val="18"/>
        </w:rPr>
        <w:t xml:space="preserve">Verordnung des Regierungspräsidiums Chemnitz zur Festsetzung des Naturschutzgebietes „Zeidelweide und Pfaffenloh“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und solange es nicht durch land- oder forstwirtschaftliche Nutzung erfolgt, sollen die in § 3 Abs. 1 Nr. 1 genannten Lebensraumtypen, die nach § 26 SächsNatSchG besonders geschützten Biotope sowie sonstige für den Schutzzweck wichtige Biotope durch geeignete, lebensraumspezifische Pflegemaßnahmen in ihrem Bestand erhalten, entwickelt oder wiederhergestellt werden.</w:t>
      </w:r>
    </w:p>
    <w:p>
      <w:r>
        <w:t xml:space="preserve">Dies sind insbesondere:</w:t>
      </w:r>
    </w:p>
    <w:p>
      <w:r>
        <w:t xml:space="preserve">1. Zurückdrängung der von Waldrändern her in angrenzende Offenlandbiotope eindringenden Gehölze. Schwerpunkte liegen dabei auf folgenden, nur kleinflächig betroffenen Flurstücken der Gemarkung Adorf: 3447, 3449, 3460, 3465 und 3555;</w:t>
      </w:r>
    </w:p>
    <w:p>
      <w:r>
        <w:t xml:space="preserve">2. Mahd und anschließende Beräumung von Feucht- und Nasswiesen im Zeitraum zwischen Juli und August zumindest in einem dreijährigen Turnus zur Erhaltung der Offenland-Kohärenz, wobei das Mahdgut spätestens eine Woche nach der Mahd von den Flächen abzuräumen ist;</w:t>
      </w:r>
    </w:p>
    <w:p>
      <w:r>
        <w:t xml:space="preserve">3. Mahd und anschließende Beräumung von Borstgrasrasen im Zeitraum zwischen Anfang Juli und Mitte August eines jeden Jahres, wobei Flächen trockener Ausprägungen nachbeweidet werden sollen; von einer Nachbeweidung ausgeschlossen sind Flächen der Schutzzonen I und II des Trinkwasserschutzgebietes „Zeidelweide”;</w:t>
      </w:r>
    </w:p>
    <w:p>
      <w:r>
        <w:t xml:space="preserve">4. regelmäßige angepasste Mahd des Fiederzwenken-Halbtrockenrasens auf Flurstück 3460, Gemarkung Adorf, zur Erhaltung und Förderung floristischer Besonderheiten, wie Echtem Wiesenhafer (Helictotrichon pratense), Fieder-Zwenke (Brachypodium pinnatum) und Aufrechter Trespe (Bromus erectus);</w:t>
      </w:r>
    </w:p>
    <w:p>
      <w:r>
        <w:t xml:space="preserve">5. Mahd der Berg-Mähwiese auf Flurstück 3460, Gemarkung Adorf ab Mitte Juni bis Ende Juli eines jeden Jahres;</w:t>
      </w:r>
    </w:p>
    <w:p>
      <w:r>
        <w:t xml:space="preserve">6. partielle Mahd von Flach- und Zwischenmoor-Gesellschaften zur Unterdrückung von Störungszeigern und wuchskräftigen Konkurrenzpflanzen von August bis Mitte September;</w:t>
      </w:r>
    </w:p>
    <w:p>
      <w:r>
        <w:t xml:space="preserve">7. Schaffung kleinflächiger Rohbodenaufschlüsse auf diversen Offenlandbiotopen zur Förderung stark gefährdeter, konkurrenzschwacher Pflanzenarten wie Wald-Läusekraut, Gemeines Katzenpfötchen, Mondrautenfarn, Große Händelwurz und Niedrige Schwarzwurzel. Diese Maßnahme ist nur nach besonderer naturschutzfachlicher Anleitung durchzuführen; betroffen sind beispielsweise die Flurstücke 3105, 3112, 3116, 3336, 3447, 3449 und 3465 der Gemarkung Adorf;</w:t>
      </w:r>
    </w:p>
    <w:p>
      <w:r>
        <w:t xml:space="preserve">8. Mahd auf Teilen der Flurstücke 3106, 3109, 3367, 3368 und 3555 der Gemarkung Adorf ab Mitte September unter Schonung vorhandener Raupengespinste zur Erhaltung günstiger Habitatbedingungen für den Abbiss-Scheckenfalter. Zur Entwicklung geeigneter Habitate sind Teile der Flurstücke 3105, 3112, 3116 und 3447 der Gemarkung Adorf in gleicher Weise zu pflegen.</w:t>
      </w:r>
    </w:p>
    <w:p>
      <w:r>
        <w:t xml:space="preserve">(2) Die unter Absatz 1 aufgeführten Grundzüge der Pflege und Entwicklung verpflichten Eigentümer und Nutzungsberechtigte unbeschadet der Regelung in § 15 Abs. 5 SächsNatSchG nicht zur Durchführung von Maßnahmen.</w:t>
      </w:r>
    </w:p>
    <w:p>
      <w:r>
        <w:t xml:space="preserve">(3) Einzelheiten zu Pflege- und Entwicklungsmaßnahmen sind dem Managementplan im Sinne von § 22a Abs. 5 SächsNatSchG für das FFH-Gebiet „Tetterweinbachtal, Pfaffenloh und Zeidelweidebach” sowie dem Pflege- und Entwicklungsplan im Sinne von § 15 Abs. 2 SächsNatSchG zu entnehmen.</w:t>
      </w:r>
    </w:p>
    <w:p>
      <w:r>
        <w:rPr>
          <w:color w:val="555555"/>
          <w:sz w:val="17"/>
        </w:rPr>
        <w:t xml:space="preserve">Zitiervorschlag: § 6 SN-9298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https://recht.nulegal.eu/gesetze/SN-9298/6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