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SN-9286 (Sachsen) — Inkrafttreten und Außerkrafttreten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treten die Anordnung Nr. 3 über Naturschutzgebiete vom 11. September 1967 (GBl. II DDR S. 697) sowie der Beschluss 75/81 des Bezirkstages Cottbus vom 25. März 1981, soweit diese das Naturschutzgebiet „Schleife” betreffen, außer Kraft.</w:t>
      </w:r>
    </w:p>
    <w:p>
      <w:r>
        <w:t xml:space="preserve">Dresden, den 11. Januar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