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SN-9285 (Sachsen) — Inkrafttreten</w:t>
      </w:r>
    </w:p>
    <w:p>
      <w:r>
        <w:rPr>
          <w:color w:val="555555"/>
          <w:sz w:val="18"/>
        </w:rPr>
        <w:t xml:space="preserve">Verordnung des Regierungspräsidiums Chemnitz zur Festsetzung des Naturschutzgebietes „Zeidelweide und Pfaffenloh“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Chemnitz, den 21. Dezember 2006</w:t>
      </w:r>
    </w:p>
    <w:p>
      <w:r>
        <w:t xml:space="preserve">Regierungspräsidium Chemnitz</w:t>
      </w:r>
    </w:p>
    <w:p>
      <w:r>
        <w:t xml:space="preserve">Noltze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9 SN-9285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https://recht.nulegal.eu/gesetze/SN-9285/9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