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SN-9284 (Sachsen) — Inkrafttreten und Außerkrafttreten</w:t>
      </w:r>
    </w:p>
    <w:p>
      <w:r>
        <w:rPr>
          <w:color w:val="555555"/>
          <w:sz w:val="18"/>
        </w:rPr>
        <w:t xml:space="preserve">Verordnung des Regierungspräsidiums Dresden zur Festsetzung des Naturschutzgebietes „Dresdner Elbtalhänge“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5 in Kraft. Gleichzeitig tritt die Anordnung Nr. 1 über Naturschutzgebiete des Ministers für Landwirtschaft, Erfassung und Forstwirtschaft der DDR vom 30. März 1961 (GBl. DDR I 1961, S. 166), zuletzt geändert durch Beschluss des Bezirkstages Nr. 69-11/1983 vom 23. Juni 1983 (Mitteilungen für die Staatsorgane im Bezirk Dresden Nr. 3/83, S. 22), soweit sie das Naturschutzgebiet „Borsberghänge und Friedrichsgrund” betrifft, außer Kraft.</w:t>
      </w:r>
    </w:p>
    <w:p>
      <w:r>
        <w:t xml:space="preserve">Dresden, den 19. Januar 2007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9 SN-9284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https://recht.nulegal.eu/gesetze/SN-9284/9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