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SN-9284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„Dresdner Elbtalhänge“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sind,</w:t>
      </w:r>
    </w:p>
    <w:p>
      <w:r>
        <w:t xml:space="preserve">1. die einzelstammweise oder gruppenweise Nutzung (Femelhiebe) der Waldbestände zur Entwicklung naturnaher, stabiler, altersdifferenzierter und mehrstufiger Dauerwaldstrukturen;</w:t>
      </w:r>
    </w:p>
    <w:p>
      <w:r>
        <w:t xml:space="preserve">2. die dauerwaldartige Bewirtschaftung der Buchenalthölzer und Eichenbestände mit dem Ziel, Totholz und Baumhöhlen anzureichern;</w:t>
      </w:r>
    </w:p>
    <w:p>
      <w:r>
        <w:t xml:space="preserve">3. die sukzessive Entwicklung naturnaher standortheimischer Waldgesellschaften in Bereichen mit standortsfremden Baumarten, wie Robinie und Roteiche durch gezielte Pflegeeingriffe und Nutzung des Naturverjüngungspotenzials heimischer Baumarten;</w:t>
      </w:r>
    </w:p>
    <w:p>
      <w:r>
        <w:t xml:space="preserve">4. der Prozessschutz im Bereich von bewaldeten Steilhängen und Talschluchten, die von besonderer Bedeutung für den Biotop- und Artenschutz sind oder keine wirtschaftliche Nutzung erlauben;</w:t>
      </w:r>
    </w:p>
    <w:p>
      <w:r>
        <w:t xml:space="preserve">5. die Anwendung von boden- und bestandsschonenden Methoden bei allen forstlichen Pflege- und Entwicklungsmaßnahmen;</w:t>
      </w:r>
    </w:p>
    <w:p>
      <w:r>
        <w:t xml:space="preserve">6. die Förderung reich strukturierter Waldränder;</w:t>
      </w:r>
    </w:p>
    <w:p>
      <w:r>
        <w:t xml:space="preserve">7. die Rückführung verrohrter und technisch ausgebauter Gewässerabschnitte in einen naturnahen Zustand sowie</w:t>
      </w:r>
    </w:p>
    <w:p>
      <w:r>
        <w:t xml:space="preserve">8. die Erhaltung und Wiederherstellung der naturnahen Kleinteiche als Laich- und Vermehrungsgewässer geschützter Tierarten.</w:t>
      </w:r>
    </w:p>
    <w:p>
      <w:r>
        <w:t xml:space="preserve">(2) Die erforderlichen Pflege- und Entwicklungsmaßnahmen können in einem Pflege- und Entwicklungsplan festgelegt werden. Auf die § 15 Abs. 5, §§ 38 und 39 SächsNatSchG wird verwiesen.</w:t>
      </w:r>
    </w:p>
    <w:p>
      <w:r>
        <w:rPr>
          <w:color w:val="555555"/>
          <w:sz w:val="17"/>
        </w:rPr>
        <w:t xml:space="preserve">Zitiervorschlag: § 6 SN-9284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https://recht.nulegal.eu/gesetze/SN-9284/6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