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SN-5624 (Sachsen)</w:t>
      </w:r>
    </w:p>
    <w:p>
      <w:r>
        <w:rPr>
          <w:color w:val="555555"/>
          <w:sz w:val="18"/>
        </w:rPr>
        <w:t xml:space="preserve">Veordnung des Regierungspräsidiums Chemnitz zur Änderung der Zonierung des Naturparks „Erzgebirge/Vogtland“ auf dem Gebiet der Gemeinde Breitenbrunn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20 des Sächsischen Gesetzes über Naturschutz und Landschaftspflege (Sächsisches Naturschutzgesetz – SächsNatSchG ) in der Fassung der Bekanntmachung vom 11. Oktober 1994 (SächsGVBl. S. 1601, 1995 S. 106), das zuletzt durch Gesetz vom 9. September 2005 (SächsGVBl. S. 259) geändert worden ist und § 2 der Verordnung des Sächsischen Staatsministeriums für Umwelt und Landwirtschaft zur Bestimmung der Zuständigkeiten zum Erlass und zur Änderung von Schutzgebietsverordnungen ( SchutzgebZuÜbVO ) vom 22. November 2005 (SächsGVBl. S. 314) wird verordnet:</w:t>
      </w:r>
    </w:p>
    <w:p>
      <w:r>
        <w:rPr>
          <w:color w:val="555555"/>
          <w:sz w:val="17"/>
        </w:rPr>
        <w:t xml:space="preserve">Zitiervorschlag: Eingangsformel SN-5624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https://recht.nulegal.eu/gesetze/SN-5624/eingangsformel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