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SN-5589 (Sachsen) — Änderung der Verordnung</w:t>
      </w:r>
    </w:p>
    <w:p>
      <w:r>
        <w:rPr>
          <w:color w:val="555555"/>
          <w:sz w:val="18"/>
        </w:rPr>
        <w:t xml:space="preserve">Verordnung des Regierungspräsidiums Chemnitz zur Änderung des Naturschutzgebietes „Muldenwiesen“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des Regierungspräsidiums Chemnitz zur Festsetzung des Naturschutzgebietes „Muldenwiesen“ vom 13. Juni 1997 (SächsABl. S. 709) wird wie folgt geändert:</w:t>
      </w:r>
    </w:p>
    <w:p>
      <w:r>
        <w:t xml:space="preserve">Die in § 2 näher bezeichnete Fläche auf dem Gebiet der Gemeinde Hammerbrücke im Vogtlandkreis wird aus dem Naturschutzgebiet „Muldenwiesen“ ausgegliedert.</w:t>
      </w:r>
    </w:p>
    <w:p>
      <w:r>
        <w:rPr>
          <w:color w:val="555555"/>
          <w:sz w:val="17"/>
        </w:rPr>
        <w:t xml:space="preserve">Zitiervorschlag: § 1 SN-5589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https://recht.nulegal.eu/gesetze/SN-5589/1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