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SN-5492 (Sachsen)</w:t>
      </w:r>
    </w:p>
    <w:p>
      <w:r>
        <w:rPr>
          <w:color w:val="555555"/>
          <w:sz w:val="18"/>
        </w:rPr>
        <w:t xml:space="preserve">Verordnung des Regierungspräsidiums Dresden zur Festsetzung des Hochwasserentstehungsgebietes „Geising-Altenberg“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100b Abs. 1 Satz 2 in Verbindung mit § 130 Abs. 7 des Sächsischen Wassergesetzes ( SächsWG ) in der Fassung der Bekanntmachung vom 18. Oktober 2004 (SächsGVBl. S. 482), das durch Artikel 3 des Gesetzes vom 1. Juni 2006 (SächsGVBl. S. 146, 149) geändert worden ist, wird verordnet:</w:t>
      </w:r>
    </w:p>
    <w:p>
      <w:r>
        <w:rPr>
          <w:color w:val="555555"/>
          <w:sz w:val="17"/>
        </w:rPr>
        <w:t xml:space="preserve">Zitiervorschlag: Eingangsformel SN-5492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https://recht.nulegal.eu/gesetze/SN-5492/eingangsformel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