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SN-5492 (Sachsen) — Inkrafttreten</w:t>
      </w:r>
    </w:p>
    <w:p>
      <w:r>
        <w:rPr>
          <w:color w:val="555555"/>
          <w:sz w:val="18"/>
        </w:rPr>
        <w:t xml:space="preserve">Verordnung des Regierungspräsidiums Dresden zur Festsetzung des Hochwasserentstehungsgebietes „Geising-Altenberg“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3 Abs. 1 in Kraft.</w:t>
      </w:r>
    </w:p>
    <w:p>
      <w:r>
        <w:t xml:space="preserve">Dresden, den 17. August 2006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4 SN-5492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