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SN-5492 (Sachsen) — Festsetzung als Schutzgebiet</w:t>
      </w:r>
    </w:p>
    <w:p>
      <w:r>
        <w:rPr>
          <w:color w:val="555555"/>
          <w:sz w:val="18"/>
        </w:rPr>
        <w:t xml:space="preserve">Verordnung des Regierungspräsidiums Dresden zur Festsetzung des Hochwasserentstehungsgebietes „Geising-Altenberg“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 § 2 näher bezeichneten Flächen auf dem Gebiet der Gemeinden Altenberg und Geising im Weißeritzkreis werden als Teil eines großräumigen Hochwasserentstehungsgebietes im Osterzgebirge als Hochwasserentstehungsgebiet festgesetzt.</w:t>
      </w:r>
    </w:p>
    <w:p>
      <w:r>
        <w:t xml:space="preserve">(2) Das Hochwasserentstehungsgebiet führt die Bezeichnung „Geising-Altenberg“.</w:t>
      </w:r>
    </w:p>
    <w:p>
      <w:r>
        <w:t xml:space="preserve">(3) Die Rechtsfolgen werden durch § 100 b Abs. 2 bis 5 SächsWG bestimmt.</w:t>
      </w:r>
    </w:p>
    <w:p>
      <w:r>
        <w:rPr>
          <w:color w:val="555555"/>
          <w:sz w:val="17"/>
        </w:rPr>
        <w:t xml:space="preserve">Zitiervorschlag: § 1 SN-5492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https://recht.nulegal.eu/gesetze/SN-5492/1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