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 SN-5481 (Sachsen) — Geschäftsordnung der Arbeitsgemeinschaft</w:t>
      </w:r>
    </w:p>
    <w:p>
      <w:r>
        <w:rPr>
          <w:color w:val="555555"/>
          <w:sz w:val="18"/>
        </w:rPr>
        <w:t xml:space="preserve">Staatsvertrag zwischen dem Freistaat Sachsen und dem Freistaat Thüringen über die Zusammenarbeit in Fragen der Raumordnung und Landesplanung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Arbeitsgemeinschaft gibt sich eine Geschäftsordnung, die der Zustimmung der obersten Landesplanungsbehörden der vertragschließenden Länder bedarf.</w:t>
      </w:r>
    </w:p>
    <w:p>
      <w:r>
        <w:t xml:space="preserve">(2) Zu den Sitzungen der Arbeitsgemeinschaft sind die zuständigen Raumordnungs- und Landesplanungsbehörden unter Mitteilung der Tagesordnung einzuladen; sie können Vertreter mit beratender Stimme entsenden.</w:t>
      </w:r>
    </w:p>
    <w:p>
      <w:r>
        <w:t xml:space="preserve">(3) Zu den Sitzungen können Sachverständige mit beratender Stimme hinzugezogen werden.</w:t>
      </w:r>
    </w:p>
    <w:p>
      <w:r>
        <w:rPr>
          <w:color w:val="555555"/>
          <w:sz w:val="17"/>
        </w:rPr>
        <w:t xml:space="preserve">Zitiervorschlag: Artikel 8 SN-5481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https://recht.nulegal.eu/gesetze/SN-5481/8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