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SN-5481 (Sachsen) — Verbindlichkeit der Regionalplanung</w:t>
      </w:r>
    </w:p>
    <w:p>
      <w:r>
        <w:rPr>
          <w:color w:val="555555"/>
          <w:sz w:val="18"/>
        </w:rPr>
        <w:t xml:space="preserve">Staatsvertrag zwischen dem Freistaat Sachsen und dem Freistaat Thüringen über die Zusammenarbeit in Fragen der Raumordnung und Landesplanung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vertragschließenden Länder verpflichten sich, (Teil-) Regionalpläne und regionale Raumordnungspläne im grenznahen Raum nur nach gegenseitiger Abstimmung für verbindlich zu erklären, nachdem sich zuvor die Träger der Regionalplanung untereinander gemäß Artikel 5 und 7 abgestimmt haben.</w:t>
      </w:r>
    </w:p>
    <w:p>
      <w:r>
        <w:t xml:space="preserve">(2) Kann keine Übereinstimmung zwischen den Trägern der Regionalplanung erzielt werden, entscheidet die zuständige oberste Landesplanungsbehörde im Benehmen mit der obersten Landesplanungsbehörde des anderen Landes.</w:t>
      </w:r>
    </w:p>
    <w:p>
      <w:r>
        <w:rPr>
          <w:color w:val="555555"/>
          <w:sz w:val="17"/>
        </w:rPr>
        <w:t xml:space="preserve">Zitiervorschlag: Artikel 4 SN-5481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