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10 SN-5481 (Sachsen) — Inkrafttreten</w:t>
      </w:r>
    </w:p>
    <w:p>
      <w:r>
        <w:rPr>
          <w:color w:val="555555"/>
          <w:sz w:val="18"/>
        </w:rPr>
        <w:t xml:space="preserve">Staatsvertrag zwischen dem Freistaat Sachsen und dem Freistaat Thüringen über die Zusammenarbeit in Fragen der Raumordnung und Landesplanung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Staatsvertrag tritt nach Zustimmung der verfassungsmäßig zuständigen Organe der vertragschließenden Länder an dem Tag, der auf den Austausch der Ratifikationsurkunden folgt, in Kraft.</w:t>
      </w:r>
    </w:p>
    <w:p>
      <w:r>
        <w:t xml:space="preserve">Potsdam, den 12. September 1997</w:t>
      </w:r>
    </w:p>
    <w:p>
      <w:r>
        <w:t xml:space="preserve">Für den Freistaat Thüringen</w:t>
      </w:r>
    </w:p>
    <w:p>
      <w:r>
        <w:t xml:space="preserve">Der Ministerpräsident</w:t>
      </w:r>
    </w:p>
    <w:p>
      <w:r>
        <w:t xml:space="preserve">des Freistaates Thüringen</w:t>
      </w:r>
    </w:p>
    <w:p>
      <w:r>
        <w:t xml:space="preserve">Dr. Bernhard Vogel</w:t>
      </w:r>
    </w:p>
    <w:p>
      <w:r>
        <w:t xml:space="preserve">Für den Freistaat Sachsen</w:t>
      </w:r>
    </w:p>
    <w:p>
      <w:r>
        <w:t xml:space="preserve">Der Ministerpräsident</w:t>
      </w:r>
    </w:p>
    <w:p>
      <w:r>
        <w:t xml:space="preserve">des Freistaates Sachsen</w:t>
      </w:r>
    </w:p>
    <w:p>
      <w:r>
        <w:t xml:space="preserve">Prof. Dr. Kurt Biedenkopf</w:t>
      </w:r>
    </w:p>
    <w:p>
      <w:r>
        <w:rPr>
          <w:color w:val="555555"/>
          <w:sz w:val="17"/>
        </w:rPr>
        <w:t xml:space="preserve">Zitiervorschlag: Artikel 10 SN-5481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https://recht.nulegal.eu/gesetze/SN-5481/10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