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SN-5449 (Sachsen) — Zulässige Handlungen</w:t>
      </w:r>
    </w:p>
    <w:p>
      <w:r>
        <w:rPr>
          <w:color w:val="555555"/>
          <w:sz w:val="18"/>
        </w:rPr>
        <w:t xml:space="preserve">Verordnung des Sächsischen Staatsministeriums für Umwelt und Landwirtschaft über die Nationalparkregion Sächsische Schweiz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Nationalpark gelten die §§ 6 und 7 nicht für:</w:t>
      </w:r>
    </w:p>
    <w:p>
      <w:r>
        <w:t xml:space="preserve">1. Maßnahmen der Naturschutzbehörden, des Nationalpark- und Forstamtes Sächsische Schweiz oder deren Beauftragten, soweit dies zur Erfüllung ihrer dienstlichen Aufgaben unerlässlich und mit dem Schutzzweck vereinbar ist,</w:t>
      </w:r>
    </w:p>
    <w:p>
      <w:r>
        <w:t xml:space="preserve">2. Maßnahmen der Umweltschutzbehörden, soweit dies zur Erfüllung ihrer dienstlichen Aufgaben unerlässlich und mit dem Schutzzweck vereinbar ist, nach vorheriger Anzeige bei dem Nationalpark- und Forstamt,</w:t>
      </w:r>
    </w:p>
    <w:p>
      <w:r>
        <w:t xml:space="preserve">3. die Behandlung des Offenlandes im Rahmen der ordnungsgemäßen Landwirtschaft nach den Grundsätzen der guten fachlichen Praxis in der Pflegezone sowie für die Bewirtschaftung von Hausgärten,</w:t>
      </w:r>
    </w:p>
    <w:p>
      <w:r>
        <w:t xml:space="preserve">4. forstwirtschaftliche Maßnahmen, soweit sie Bestandteil des Pflege- und Entwicklungsplanes nach § 14 Abs. 2 Nr. 1 Buchst. a sind,</w:t>
      </w:r>
    </w:p>
    <w:p>
      <w:r>
        <w:t xml:space="preserve">5. jagdliche Maßnahmen, soweit sie Bestandteil des Pflege- und Entwicklungsplanes nach § 14 Abs. 2 Nr. 1 Buchst. c sind,</w:t>
      </w:r>
    </w:p>
    <w:p>
      <w:r>
        <w:t xml:space="preserve">6. Maßnahmen der fischereilichen Hege, soweit sie Bestandteil des Pflege- und Entwicklungsplanes nach § 14 Abs. 2 Nr. 1 Buchst. d sind,</w:t>
      </w:r>
    </w:p>
    <w:p>
      <w:r>
        <w:t xml:space="preserve">7. die land-, forst- und fischereiwirtschaftliche Bodennutzung, solange und soweit sich der Nutzungsberechtigte durch schriftliche Vereinbarung mit der Naturschutzbehörde oder im Einvernehmen mit der Naturschutzbehörde zur Einhaltung der dort ausgesprochenen Vorgaben verpflichtet hat,</w:t>
      </w:r>
    </w:p>
    <w:p>
      <w:r>
        <w:t xml:space="preserve">8. die bisher rechtmäßig ausgeübte Nutzung der Grundstücke, Straßen, Wege, Gewässer, Versorgungs- und Fernmeldeleitungen und Eisenbahnstrecken sowie der rechtmäßig bestehenden Gebäude und Einrichtungen in der bisherigen Art und im bisherigen Umfang sowie deren Unterhaltung und Erhaltung,</w:t>
      </w:r>
    </w:p>
    <w:p>
      <w:r>
        <w:t xml:space="preserve">9. das Befahren der gesperrten Straßen und Wege mit Fahrzeugen durch Mitarbeiter von Behörden im Rahmen ihrer Dienstaufgaben oder deren Beauftragten sowie durch Sonstige mit Zustimmung des Nationalpark- und Forstamtes Sächsische Schweiz,</w:t>
      </w:r>
    </w:p>
    <w:p>
      <w:r>
        <w:t xml:space="preserve">10. das Aufsuchen der mit Veröffentlichung gemäß § 14 Abs. 6 Satz 4 zugelassenen Klettergipfel und -wege in der Kernzone zur unmittelbaren Ausübung des Felskletterns abseits gekennzeichneter Wege, sofern keine Kletterzugänge markiert sind. Das Verbot nach § 6 Abs. 2 Nr. 22 bleibt unberührt,</w:t>
      </w:r>
    </w:p>
    <w:p>
      <w:r>
        <w:t xml:space="preserve">11. das Lagern in unmittelbarem Zusammenhang mit der Ausübung des Felskletterns im Bereich der mit Veröffentlichung gemäß § 14 Abs. 6 Satz 4 zugelassenen Klettergipfel und -wege,</w:t>
      </w:r>
    </w:p>
    <w:p>
      <w:r>
        <w:t xml:space="preserve">12. das Betreten landwirtschaftlich genutzter Flächen außerhalb der Kernzone im Rahmen des § 30 Abs. 1 SächsNatSchG ,</w:t>
      </w:r>
    </w:p>
    <w:p>
      <w:r>
        <w:t xml:space="preserve">13. eine nach Art und Menge schonende Entnahme von Pilzen und Beeren für den persönlichen Bedarf; die Verbote nach § 6 Abs. 2 Nr. 16 und 17 bleiben unberührt,</w:t>
      </w:r>
    </w:p>
    <w:p>
      <w:r>
        <w:t xml:space="preserve">14. die Nutzung der Standgewässer Amselsee Rathen und Obere Schleuse Hinterhermsdorf für den traditionellen Bootsverkehr sowie den nach Art und Umfang bisher üblichen Betrieb der Felsenbühne Rathen,</w:t>
      </w:r>
    </w:p>
    <w:p>
      <w:r>
        <w:t xml:space="preserve">15. das Anzünden und Unterhalten von Feuer an den vom Nationalpark- und Forstamt errichteten oder genehmigten Feuerstellen,</w:t>
      </w:r>
    </w:p>
    <w:p>
      <w:r>
        <w:t xml:space="preserve">16. Landung nicht motorgetriebener Luftfahrzeuge wie Segelflugzeuge, Hängegleiter, Gleitsegel und Ballone, wenn dies nicht bereits beim Start vorhersehbar war,</w:t>
      </w:r>
    </w:p>
    <w:p>
      <w:r>
        <w:t xml:space="preserve">17. Maßnahmen der Wasser- und Schifffahrtsverwaltung des Bundes im Rahmen ihrer Aufgaben und Befugnisse, die der Unterhaltung und dem laufenden Betrieb der Bundeswasserstraße Elbe dienen,</w:t>
      </w:r>
    </w:p>
    <w:p>
      <w:r>
        <w:t xml:space="preserve">18. unaufschiebbare Handlungen zum Schutz der Bevölkerung und zur Abwehr von Gefahren für Leib und Leben von Menschen sowie zum Schutz erheblicher Sachwerte und von Tieren,</w:t>
      </w:r>
    </w:p>
    <w:p>
      <w:r>
        <w:t xml:space="preserve">19. Maßnahmen des Bundesgrenzschutzes, der Zollverwaltung, der Polizei und der Feuerwehr im Rahmen ihrer Aufgaben und Befugnisse.</w:t>
      </w:r>
    </w:p>
    <w:p>
      <w:r>
        <w:t xml:space="preserve">(2) §§ 6 und 7 gelten nicht für Maßnahmen, die in Plänen im Sinne von § 22 Abs. 2 SächsWaldG enthalten sind, wenn die oberste Naturschutzbehörde zuvor schriftlich die Vereinbarkeit der Planaussagen mit dem Schutzzweck nach § 3 und den Zielen und Grundsätzen nach §§ 4, 5 sowie Anlage 5 bestätigt hat. §§ 6 und 7 gelten nicht für Maßnahmen, die in Plänen nach § 33 Abs. 1 des Sächsischen Landesjagdgesetzes ( SächsLJagdG ) vom 8. Mai 1991 (SächsGVBl. S. 67), das zuletzt durch Artikel 7 des Gesetzes vom 11. Dezember 2002 (SächsGVBl. S. 312, 315) geändert worden ist, oder nach § 12 des Fischereigesetzes für den Freistaat Sachsen ( Sächsisches Fischereigesetz – SächsFischG ) in der Fassung der Bekanntmachung vom 9. Juli 2007 (SächsGVBl. S. 310), in der jeweils geltenden Fassung, enthalten sind.</w:t>
      </w:r>
    </w:p>
    <w:p>
      <w:r>
        <w:t xml:space="preserve">(3) Weiter bleiben die zum Zeitpunkt des In-Kraft-Tretens dieser Verordnung auf Grund besonderer Genehmigungen und Rechte zulässigen Maßnahmen im Nationalpark unberührt.</w:t>
      </w:r>
    </w:p>
    <w:p>
      <w:r>
        <w:t xml:space="preserve">(4) Die Notwendigkeit anderer Genehmigungen, Erlaubnisse oder Bewilligungen nach öffentlich-rechtlichen Vorschriften bleibt unberührt.</w:t>
      </w:r>
    </w:p>
    <w:p>
      <w:r>
        <w:rPr>
          <w:color w:val="555555"/>
          <w:sz w:val="17"/>
        </w:rPr>
        <w:t xml:space="preserve">Zitiervorschlag: § 8 SN-5449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https://recht.nulegal.eu/gesetze/SN-5449/8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