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SN-5449 (Sachsen) — Zonierung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Nationalpark gliedert sich in drei Schutzzonen mit unterschiedlichen Schutz-, Pflege- und Entwicklungszielen. Zur Regelung der Erholungsnutzung ist unabhängig davon eine Kernzone ausgewiesen.</w:t>
      </w:r>
    </w:p>
    <w:p>
      <w:r>
        <w:t xml:space="preserve">(2) Die Schutzzonen gliedern sich wie folgt:</w:t>
      </w:r>
    </w:p>
    <w:p>
      <w:r>
        <w:t xml:space="preserve">1. Die Naturzone A umfasst insbesondere Wälder, offene Felsbildungen, Gewässer und Offenlandbereiche, in denen der Schutz der Dynamik der Lebensräume und -gemeinschaften grundsätzlich gewährleistet ist. Auf diesen Flächen soll sich Natur weitestgehend ungelenkt und ungenutzt entwickeln können.</w:t>
      </w:r>
    </w:p>
    <w:p>
      <w:r>
        <w:t xml:space="preserve">2. Die Naturzone B umfasst insbesondere Flächen, die nach Maßgabe der Nationalpark-Planung gemäß § 14 Abs. 2 Nr. 1 durch gezielte Maßnahmen so entwickelt werden sollen, dass sie überwiegend der ungestörten natürlichen Entwicklung im Sinne von Nummer 1 überlassen werden können.</w:t>
      </w:r>
    </w:p>
    <w:p>
      <w:r>
        <w:t xml:space="preserve">3. Die Pflegezone umfasst im Nationalpark liegende Kulturlandschafts- und Erholungsbereiche sowie bebaute Grundstücke, die ganzjährig bewohnt oder bewirtschaftet werden. Sie dient auch der Minimierung von Störeinflüssen nach innen und außen. Der Schutzzweck nach § 3 Abs. 2 Nr. 2 wird in der Pflegezone nicht verfolgt.</w:t>
      </w:r>
    </w:p>
    <w:p>
      <w:r>
        <w:t xml:space="preserve">(3) Die Kernzone zur Regelung der Erholungsnutzung umfasst Flächen, in denen zum Schutz der Naturausstattung besondere Verhaltensanforderungen für Besucher gelten. Die Kernzone ist im Gelände zu kennzeichnen.</w:t>
      </w:r>
    </w:p>
    <w:p>
      <w:r>
        <w:rPr>
          <w:color w:val="555555"/>
          <w:sz w:val="17"/>
        </w:rPr>
        <w:t xml:space="preserve">Zitiervorschlag: § 5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