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SN-5449 (Sachsen) — Entschädigung und Härtefallausgleich</w:t>
      </w:r>
    </w:p>
    <w:p>
      <w:r>
        <w:rPr>
          <w:color w:val="555555"/>
          <w:sz w:val="18"/>
        </w:rPr>
        <w:t xml:space="preserve">Verordnung des Sächsischen Staatsministeriums für Umwelt und Landwirtschaft über die Nationalparkregion Sächsische Schweiz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in den Pflege- und Entwicklungsplänen vorgesehenen Maßnahmen der Landschaftspflege und des Biotop- und Artenschutzes sowie schutzzweckgerechte forstwirtschaftliche, landwirtschaftliche, jagdliche und fischereiliche Maßnahmen durch private Nutzungsberechtigte sollen vorrangig auf der Grundlage der Freiwilligkeit, insbesondere durch Maßnahmen des Vertragsnaturschutzes gemäß § 39 SächsNatSchG , umgesetzt werden.</w:t>
      </w:r>
    </w:p>
    <w:p>
      <w:r>
        <w:t xml:space="preserve">(2) Entschädigung und Härtefallausgleich werden nach den Maßgaben des § 38 SächsNatSchG sowie der Verordnung des Sächsischen Staatsministeriums für Umwelt und Landesentwicklung zum Vollzug des Härtefallausgleiches auf land-, forst- oder fischereiwirtschaftlich genutzten Flächen (Härtefallausgleichsverordnung – HärtefallausglVO ) vom 25. August 1995 (SächsGVBl. S. 387), geändert durch Artikel 4 der Verordnung vom 22. November 2001 (SächsGVBl. S. 734, 735), gewährt.</w:t>
      </w:r>
    </w:p>
    <w:p>
      <w:r>
        <w:rPr>
          <w:color w:val="555555"/>
          <w:sz w:val="17"/>
        </w:rPr>
        <w:t xml:space="preserve">Zitiervorschlag: § 15 SN-5449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https://recht.nulegal.eu/gesetze/SN-5449/15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