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SN-5449 (Sachsen) — Verbote</w:t>
      </w:r>
    </w:p>
    <w:p>
      <w:r>
        <w:rPr>
          <w:color w:val="555555"/>
          <w:sz w:val="18"/>
        </w:rPr>
        <w:t xml:space="preserve">Verordnung des Sächsischen Staatsministeriums für Umwelt und Landwirtschaft über die Nationalparkregion Sächsische Schweiz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Im Landschaftsschutzgebiet sind alle Handlungen verboten, die den Charakter des Gebietes verändern oder dem Schutzzweck zuwiderlaufen.</w:t>
      </w:r>
    </w:p>
    <w:p>
      <w:r>
        <w:t xml:space="preserve">(2) Insbesondere ist es vorbehaltlich des Ergebnisses einer nach § 11 erforderlichen Prüfung verboten:</w:t>
      </w:r>
    </w:p>
    <w:p>
      <w:r>
        <w:t xml:space="preserve">1. offene Felsbildungen zu beschädigen, natürliche Geländehohlformen zu verfüllen oder zu begradigen sowie Bodenschätze zu gewinnen, Neuaufschlüsse für die Gewinnung von Bodenschätzen anzulegen oder stillgelegte Gewinnungsfelder wieder zu eröffnen,</w:t>
      </w:r>
    </w:p>
    <w:p>
      <w:r>
        <w:t xml:space="preserve">2. Wald umzuwandeln,</w:t>
      </w:r>
    </w:p>
    <w:p>
      <w:r>
        <w:t xml:space="preserve">3. Dauergrünland in Acker umzuwandeln,</w:t>
      </w:r>
    </w:p>
    <w:p>
      <w:r>
        <w:t xml:space="preserve">4. Gebäude im Außenbereich zu errichten oder zu erweitern, ausgenommen</w:t>
      </w:r>
    </w:p>
    <w:p>
      <w:r>
        <w:t xml:space="preserve">a)</w:t>
      </w:r>
    </w:p>
    <w:p>
      <w:r>
        <w:t xml:space="preserve">nach § 35 Abs. 1 des Baugesetzbuches ( BauGB ) in der Fassung der Bekanntmachung vom 27. August 1997 (BGBl. I S. 2141, 1998 I S. 137), das zuletzt durch Artikel 12 des Gesetzes vom 23. Juli 2002 (BGBl. I S. 2850, 2852) geändert worden ist, privilegierte Vorhaben,</w:t>
      </w:r>
    </w:p>
    <w:p>
      <w:r>
        <w:t xml:space="preserve">b)</w:t>
      </w:r>
    </w:p>
    <w:p>
      <w:r>
        <w:t xml:space="preserve">nach § 35 Abs. 4 BauGB begünstigte Vorhaben,</w:t>
      </w:r>
    </w:p>
    <w:p>
      <w:r>
        <w:t xml:space="preserve">c)</w:t>
      </w:r>
    </w:p>
    <w:p>
      <w:r>
        <w:t xml:space="preserve">Gebäude, die einer bestehenden Wohn- oder Gewerbenutzung dienen, einen räumlichen Zusammenhang mit dieser aufweisen und in einem angemessenen Verhältnis zu dem baulichen Altbestand stehen,</w:t>
      </w:r>
    </w:p>
    <w:p>
      <w:r>
        <w:t xml:space="preserve">d)</w:t>
      </w:r>
    </w:p>
    <w:p>
      <w:r>
        <w:t xml:space="preserve">der Kleingartennutzung dienende Gebäude in Kleingartenanlagen sowie</w:t>
      </w:r>
    </w:p>
    <w:p>
      <w:r>
        <w:t xml:space="preserve">e)</w:t>
      </w:r>
    </w:p>
    <w:p>
      <w:r>
        <w:t xml:space="preserve">Fahrgastunterstände,</w:t>
      </w:r>
    </w:p>
    <w:p>
      <w:r>
        <w:t xml:space="preserve">5. Windkraftanlagen von mehr als 10 m Höhe zu errichten,</w:t>
      </w:r>
    </w:p>
    <w:p>
      <w:r>
        <w:t xml:space="preserve">6. ortsfeste Freileitungen der überörtlichen Elektroenergieversorgung im Hoch- und Mittelspannungsbereich einschließlich Masten außerhalb von Siedlungsgebieten zu errichten oder wesentlich zu erweitern,</w:t>
      </w:r>
    </w:p>
    <w:p>
      <w:r>
        <w:t xml:space="preserve">7. Motorgeländesport oder Motorrennsport durchzuführen sowie mit Luftfahrzeugen zu starten oder zu landen,</w:t>
      </w:r>
    </w:p>
    <w:p>
      <w:r>
        <w:t xml:space="preserve">8. nach Veröffentlichung gemäß § 14 Abs. 6 Satz 4 an anderen als den damit zugelassenen Klettergipfeln und -wegen zu klettern,</w:t>
      </w:r>
    </w:p>
    <w:p>
      <w:r>
        <w:t xml:space="preserve">9. an nassem oder feuchtem Gestein zu klettern, künstliche Hilfsmittel oder chemische oder mineralische Stoffe wie Magnesia zu benutzen und neue Kletterwege anders als von unten nach oben zu erschließen,</w:t>
      </w:r>
    </w:p>
    <w:p>
      <w:r>
        <w:t xml:space="preserve">10. Anlagen in Fließgewässern zu errichten, die zu einem Anstau des Wasserkörpers führen und die Durchgängigkeit für wandernde Tierarten behindern können oder den Uferbereich naturfern verändern.</w:t>
      </w:r>
    </w:p>
    <w:p>
      <w:r>
        <w:rPr>
          <w:color w:val="555555"/>
          <w:sz w:val="17"/>
        </w:rPr>
        <w:t xml:space="preserve">Zitiervorschlag: § 10 SN-5449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https://recht.nulegal.eu/gesetze/SN-5449/10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