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SN-5411 (Sachsen) — Zuständigkeit und Verfahren des Stiftungsrats</w:t>
      </w:r>
    </w:p>
    <w:p>
      <w:r>
        <w:rPr>
          <w:color w:val="555555"/>
          <w:sz w:val="18"/>
        </w:rPr>
        <w:t xml:space="preserve">Staatsvertrag über die Neuordnung der Rechtsverhältnisse der Stiftung Kulturfonds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Stiftungsrat entscheidet über alle Fragen von grundsätzlicher oder besonderer wirtschaftlicher Bedeutung. Die Satzung kann bestimmte Arten von Geschäften an die Zustimmung des Stiftungsrats binden.</w:t>
      </w:r>
    </w:p>
    <w:p>
      <w:r>
        <w:t xml:space="preserve">(2) Der Stiftungsrat überwacht die Tätigkeit des Vorstands und vertritt die Stiftung ihm gegenüber gerichtlich und außergerichtlich.</w:t>
      </w:r>
    </w:p>
    <w:p>
      <w:r>
        <w:t xml:space="preserve">(3) Der Stiftungsrat beschließt mit der Mehrheit seiner Mitglieder, darunter mindestens drei Landesvertretern.</w:t>
      </w:r>
    </w:p>
    <w:p>
      <w:r>
        <w:t xml:space="preserve">(4) Das Weiterer regelt die Satzung.</w:t>
      </w:r>
    </w:p>
    <w:p>
      <w:r>
        <w:rPr>
          <w:color w:val="555555"/>
          <w:sz w:val="17"/>
        </w:rPr>
        <w:t xml:space="preserve">Zitiervorschlag: Artikel 6 SN-5411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https://recht.nulegal.eu/gesetze/SN-5411/6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