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SN-5399 (Sachsen) — Mitwirkung der Architektenkammer</w:t>
      </w:r>
    </w:p>
    <w:p>
      <w:r>
        <w:rPr>
          <w:color w:val="555555"/>
          <w:sz w:val="18"/>
        </w:rPr>
        <w:t xml:space="preserve">Staatsvertrag zwischen dem Freistaat Sachsen und dem Land Sachsen-Anhalt über die Aufnahme der Mitglieder der Architektenkammer Sachsen-Anhalt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Architektenkammer Sachsen-Anhalt gibt dem Versorgungswerk Auskunft über die Eintragungen, Löschungen und sonstigen Veränderungen in der von ihr geführten Architektenliste, soweit diese für die Teilnahme der von der Eintragung Betroffenen im Versorgungswerk erforderlich ist. Im Übrigen richtet sich die zu leistende Amtshilfe nach den Bestimmungen der Verwaltungsverfahrensgesetze.</w:t>
      </w:r>
    </w:p>
    <w:p>
      <w:r>
        <w:rPr>
          <w:color w:val="555555"/>
          <w:sz w:val="17"/>
        </w:rPr>
        <w:t xml:space="preserve">Zitiervorschlag: Artikel 7 SN-5399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https://recht.nulegal.eu/gesetze/SN-5399/7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