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SN-5371 (Sachsen) — Anwendbare Vorschriften</w:t>
      </w:r>
    </w:p>
    <w:p>
      <w:r>
        <w:rPr>
          <w:color w:val="555555"/>
          <w:sz w:val="18"/>
        </w:rPr>
        <w:t xml:space="preserve">Staatsvertrag zwischen dem Freistaat Bayern und dem Freistaat Sachsen über die Zugehörigkeit der kammerangehörigen Ingenieure des Freistaates Sachsen zur Bayerischen Ingenieurversorgung-Bau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Soweit dieser Staatsvertrag nichts anderes bestimmt, gelten die für die Ingenieurversorgung maßgeblichen Bestimmungen des bayerischen Gesetzes über das öffentliche Versorgungswesen vom 25. Juni 1994 (BayRS 763-1-I; BayGVBl. S. 466) in der jeweils geltenden Fassung im Freistaat Sachsen entsprechend. Für das Verwaltungsverfahren ist das Recht des Sitzlandes entsprechend anzuwenden.</w:t>
      </w:r>
    </w:p>
    <w:p>
      <w:r>
        <w:t xml:space="preserve">(2) Soweit die Satzung der Ingenieurversorgung Rechtswirkungen an die Zugehörigkeit zur Bayerischen Ingenieurkammer-Bau knüpft, ergeben sich die gleichen Rechtswirkungen für die Mitglieder der Ingenieurkammer Sachsen aus deren Zugehörigkeit zu ihrer Kammer. Personen nach Artikel 1 Abs. 2 stehen beim Vollzug der Satzung der Ingenieurversorgung entsprechenden bayerischen Mitgliedern der Ingenieurversorgung rechtlich gleich.</w:t>
      </w:r>
    </w:p>
    <w:p>
      <w:r>
        <w:t xml:space="preserve">(3) Die Ingenieurversorgung hat das Recht, die von ihr erlassenen Verwaltungsakte im Freistaat Sachsen zu vollstrecken. Das Verfahren richtet sich nach dem Sächsischen Verwaltungsvollstreckungsgesetz in der jeweils geltenden Fassung.</w:t>
      </w:r>
    </w:p>
    <w:p>
      <w:r>
        <w:rPr>
          <w:color w:val="555555"/>
          <w:sz w:val="17"/>
        </w:rPr>
        <w:t xml:space="preserve">Zitiervorschlag: Artikel 2 SN-5371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https://recht.nulegal.eu/gesetze/SN-5371/2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