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6 SN-5370 (Sachsen)</w:t>
      </w:r>
    </w:p>
    <w:p>
      <w:r>
        <w:rPr>
          <w:color w:val="555555"/>
          <w:sz w:val="18"/>
        </w:rPr>
        <w:t xml:space="preserve">Staatsvertrag zwischen dem Freistaat Sachsen und dem Land Nordrhein-Westfalen über die Zugehörigkeit der Wirtschaftsprüfer und der vereidigten Buchprüfer des Freistaates Sachsen zum Versorgungswerk der Wirtschaftsprüfer und der vereidigten Buchprüfer im Lande Nordrhein-Westfalen</w:t>
      </w:r>
    </w:p>
    <w:p>
      <w:r>
        <w:rPr>
          <w:color w:val="555555"/>
          <w:sz w:val="18"/>
        </w:rPr>
        <w:t xml:space="preserve">Landesrecht Sachsen</w:t>
      </w:r>
    </w:p>
    <w:p>
      <w:r>
        <w:rPr>
          <w:color w:val="555555"/>
          <w:sz w:val="18"/>
        </w:rPr>
        <w:t xml:space="preserve">Stand: 26.08.2026 (konsolidierte Textfassung, kein amtliches Inkrafttretensdatum)</w:t>
      </w:r>
    </w:p>
    <w:p>
      <w:r>
        <w:t xml:space="preserve">Das Vermögen des Versorgungswerkes der Wirtschaftsprüfer und der vereidigten Buchprüfer im Lande Nordrhein-Westfalen soll entsprechend dem Anteil des Beitragsaufkommens der Mitglieder aus dem Freistaat Sachsen am Gesamtbeitragsaufkommen des Versorgungswerkes im Freistaat Sachsen angelegt werden. Die gesetzlichen und aufsichtsrechtlichen Vorschriften zur Vermögensanlage bleiben unberührt.</w:t>
      </w:r>
    </w:p>
    <w:p>
      <w:r>
        <w:rPr>
          <w:color w:val="555555"/>
          <w:sz w:val="17"/>
        </w:rPr>
        <w:t xml:space="preserve">Zitiervorschlag: Artikel 6 SN-5370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https://recht.nulegal.eu/gesetze/SN-5370/6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