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SN-5370 (Sachsen)</w:t>
      </w:r>
    </w:p>
    <w:p>
      <w:r>
        <w:rPr>
          <w:color w:val="555555"/>
          <w:sz w:val="18"/>
        </w:rPr>
        <w:t xml:space="preserve">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über das Versorgungswerk der Wirtschaftsprüfer und der vereidigten Buchprüfer im Lande Nordrhein-Westfalen wird im Benehmen mit dem Sächsischen Staatsministerium für Wirtschaft und Arbeit wahrgenommen, soweit Belange der Mitglieder und sonstigen Leistungsberechtigten nach Artikel 1 berührt sein können. Vor der Genehmigung von Satzungsänderungen, die die Festsetzung der Beiträge nach Artikel 2 Abs. 1 Satz 2 betreffen, ist das Einvernehmen herzustellen.</w:t>
      </w:r>
    </w:p>
    <w:p>
      <w:r>
        <w:t xml:space="preserve">(2) Das Versorgungswerk der Wirtschaftsprüfer und der vereidigten Buchprüfer im Lande Nordrhein-Westfalen leitet dem Sächsischen Staatsministerium für Wirtschaft und Arbeit jeweils den geprüften Jahresabschluß nebst Lagebericht zu.</w:t>
      </w:r>
    </w:p>
    <w:p>
      <w:r>
        <w:rPr>
          <w:color w:val="555555"/>
          <w:sz w:val="17"/>
        </w:rPr>
        <w:t xml:space="preserve">Zitiervorschlag: Artikel 5 SN-5370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https://recht.nulegal.eu/gesetze/SN-5370/5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