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7 SN-5367 (Sachsen)</w:t>
      </w:r>
    </w:p>
    <w:p>
      <w:r>
        <w:rPr>
          <w:color w:val="555555"/>
          <w:sz w:val="18"/>
        </w:rPr>
        <w:t xml:space="preserve">Staatsvertrag zwischen dem Land Brandenburg und dem Freistaat Sachsen über die Änderung der gemeinsamen Landesgrenze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Dieser Vertrag bedarf der Ratifikation. Die Ratifikationsurkunden werden unverzüglich ausgetauscht.</w:t>
      </w:r>
    </w:p>
    <w:p>
      <w:r>
        <w:t xml:space="preserve">(2) Dieser Vertrag tritt am Tage nach dem Austausch der Ratifikationsurkunden in Kraft.</w:t>
      </w:r>
    </w:p>
    <w:p>
      <w:r>
        <w:t xml:space="preserve">Potsdam, den 15. Mai 1998</w:t>
      </w:r>
    </w:p>
    <w:p>
      <w:r>
        <w:t xml:space="preserve">Für das Land Brandenburg</w:t>
      </w:r>
    </w:p>
    <w:p>
      <w:r>
        <w:t xml:space="preserve">Der Ministerpräsident</w:t>
      </w:r>
    </w:p>
    <w:p>
      <w:r>
        <w:t xml:space="preserve">Dr. Manfred Stolpe</w:t>
      </w:r>
    </w:p>
    <w:p>
      <w:r>
        <w:t xml:space="preserve">Dresden, den 21. April 1998</w:t>
      </w:r>
    </w:p>
    <w:p>
      <w:r>
        <w:t xml:space="preserve">Für den Freistaat Sachsen</w:t>
      </w:r>
    </w:p>
    <w:p>
      <w:r>
        <w:t xml:space="preserve">Der Ministerpräsident</w:t>
      </w:r>
    </w:p>
    <w:p>
      <w:r>
        <w:t xml:space="preserve">Prof. Dr. Kurt Biedenkopf</w:t>
      </w:r>
    </w:p>
    <w:p>
      <w:r>
        <w:rPr>
          <w:color w:val="555555"/>
          <w:sz w:val="17"/>
        </w:rPr>
        <w:t xml:space="preserve">Zitiervorschlag: Artikel 7 SN-5367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https://recht.nulegal.eu/gesetze/SN-5367/7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