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SN-5367 (Sachsen)</w:t>
      </w:r>
    </w:p>
    <w:p>
      <w:r>
        <w:rPr>
          <w:color w:val="555555"/>
          <w:sz w:val="18"/>
        </w:rPr>
        <w:t xml:space="preserve">Staatsvertrag zwischen dem Land Brandenburg und dem Freistaat Sachsen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Flurstücke 2/2, 2/5, 3/1, 3/2 und 4/1 der Flur 6 der Gemarkung Rohne, Gemeinde Schleife, Landkreis Niederschlesischer Oberlausitzkreis, werden aus dem Freistaat Sachsen ausgegliedert und in das Land Brandenburg, Landkreis Spree-Neiße, Gemeinde Graustein, eingegliedert (Umgliederungsgebiet 1).</w:t>
      </w:r>
    </w:p>
    <w:p>
      <w:r>
        <w:t xml:space="preserve">(2) Die Flurstücke 245/4, 245/5, 245/7, 249/3, 249/4, 249/5 und 250/1 der Flur 4 der Gemarkung Terpe, Gemeinde Schwarze Pumpe, Landkreis Spree-Neiße, werden aus dem Land Brandenburg ausgegliedert und in den Freistaat Sachsen, Landkreis Kamenz, Gemeinde Spreetal, eingegliedert (Umgliederungsgebiet 2).</w:t>
      </w:r>
    </w:p>
    <w:p>
      <w:r>
        <w:t xml:space="preserve">(3) Die Flurstücke 105/7, 105/8 und 113 der Flur 1 der Gemarkung Burghammer, Gemeinde Spreetal, Landkreis Kamenz, werden aus dem Freistaat Sachsen ausgegliedert und in das Land Brandenburg, Landkreis Spree-Neiße, Gemeinde Schwarze Pumpe, eingegliedert (Umgliederungsgebiet 3).</w:t>
      </w:r>
    </w:p>
    <w:p>
      <w:r>
        <w:t xml:space="preserve">(4) Der bisherige und der neue Verlauf der gemeinsamen Landesgrenze ist in den Anlagen 1 und 2 zu diesem Vertrag dargestellt.</w:t>
      </w:r>
    </w:p>
    <w:p>
      <w:r>
        <w:rPr>
          <w:color w:val="555555"/>
          <w:sz w:val="17"/>
        </w:rPr>
        <w:t xml:space="preserve">Zitiervorschlag: Artikel 1 SN-5367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