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SN-5366 (Sachsen)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bedarf der Ratifikation. Die Ratifikationsurkunden werden ausgetauscht, sobald der Sächsische Landtag und der Thüringer Landtag diesem Vertrag durch Gesetz zugestimmt haben.</w:t>
      </w:r>
    </w:p>
    <w:p>
      <w:r>
        <w:t xml:space="preserve">(2) Die Ratifikationsurkunden und Urschriften dieses Vertrages werden im Staatsarchiv Dresden und im Thüringischen Hauptstaatsarchiv in Weimar hinterlegt.</w:t>
      </w:r>
    </w:p>
    <w:p>
      <w:r>
        <w:t xml:space="preserve">(3) Der Staatsvertrag tritt am Tage nach dem Austausch der Ratifikationsurkunden in Kraft.</w:t>
      </w:r>
    </w:p>
    <w:p>
      <w:r>
        <w:t xml:space="preserve">Greiz, den 31. Mai 1994</w:t>
      </w:r>
    </w:p>
    <w:p>
      <w:r>
        <w:t xml:space="preserve">Für den Freistaat Sachsen</w:t>
      </w:r>
    </w:p>
    <w:p>
      <w:r>
        <w:t xml:space="preserve">Heinz Eggert</w:t>
      </w:r>
    </w:p>
    <w:p>
      <w:r>
        <w:t xml:space="preserve">Staatsminister des Innern</w:t>
      </w:r>
    </w:p>
    <w:p>
      <w:r>
        <w:t xml:space="preserve">Für den Freistaat Thüringen</w:t>
      </w:r>
    </w:p>
    <w:p>
      <w:r>
        <w:t xml:space="preserve">Franz Schuster</w:t>
      </w:r>
    </w:p>
    <w:p>
      <w:r>
        <w:t xml:space="preserve">Innenminister</w:t>
      </w:r>
    </w:p>
    <w:p>
      <w:r>
        <w:rPr>
          <w:color w:val="555555"/>
          <w:sz w:val="17"/>
        </w:rPr>
        <w:t xml:space="preserve">Zitiervorschlag: Artikel 9 SN-5366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https://recht.nulegal.eu/gesetze/SN-5366/9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