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SN-5364 (Sachsen)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Dieser Staatsvertrag tritt an dem Tage in Kraft, der auf den Austausch der Ratifikationsurkunden folgt.</w:t>
      </w:r>
    </w:p>
    <w:p>
      <w:r>
        <w:t xml:space="preserve">Potsdam, den 23. April 1998</w:t>
      </w:r>
    </w:p>
    <w:p>
      <w:r>
        <w:t xml:space="preserve">Für das Land Brandenburg</w:t>
      </w:r>
    </w:p>
    <w:p>
      <w:r>
        <w:t xml:space="preserve">Dr. Manfred Stolpe</w:t>
      </w:r>
    </w:p>
    <w:p>
      <w:r>
        <w:t xml:space="preserve">Ministerpräsident</w:t>
      </w:r>
    </w:p>
    <w:p>
      <w:r>
        <w:t xml:space="preserve">Dresden, den 11. März 1998</w:t>
      </w:r>
    </w:p>
    <w:p>
      <w:r>
        <w:t xml:space="preserve">Für den Freistaat Sachsen</w:t>
      </w:r>
    </w:p>
    <w:p>
      <w:r>
        <w:t xml:space="preserve">Prof. Dr. Kurt Biedenkopf</w:t>
      </w:r>
    </w:p>
    <w:p>
      <w:r>
        <w:t xml:space="preserve">Ministerpräsident</w:t>
      </w:r>
    </w:p>
    <w:p>
      <w:r>
        <w:rPr>
          <w:color w:val="555555"/>
          <w:sz w:val="17"/>
        </w:rPr>
        <w:t xml:space="preserve">Zitiervorschlag: Artikel 6 SN-5364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https://recht.nulegal.eu/gesetze/SN-5364/6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