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5 SN-5364 (Sachsen)</w:t>
      </w:r>
    </w:p>
    <w:p>
      <w:r>
        <w:rPr>
          <w:color w:val="555555"/>
          <w:sz w:val="18"/>
        </w:rPr>
        <w:t xml:space="preserve">Staatsvertrag zwischen dem Land Brandenburg und dem Freistaat Sachsen über die grenzüberschreitende kommunale Zusammenarbeit in Zweckverbänden und durch Zweckvereinbarungen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vertragschließenden Länder können diesen Staatsvertrag mit einer Frist von einem Jahr zum Ende eines Kalenderjahres kündigen. Die Artikel 2 bis 4 gelten jedoch für die vor dem Außerkrafttreten des Staatsvertrages rechtswirksam gebildeten Zweckverbände und abgeschlossenen Zweckvereinbarungen weiter.</w:t>
      </w:r>
    </w:p>
    <w:p>
      <w:r>
        <w:rPr>
          <w:color w:val="555555"/>
          <w:sz w:val="17"/>
        </w:rPr>
        <w:t xml:space="preserve">Zitiervorschlag: Artikel 5 SN-5364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https://recht.nulegal.eu/gesetze/SN-5364/5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