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SN-5363 (Sachsen)</w:t>
      </w:r>
    </w:p>
    <w:p>
      <w:r>
        <w:rPr>
          <w:color w:val="555555"/>
          <w:sz w:val="18"/>
        </w:rPr>
        <w:t xml:space="preserve">Staatsvertrag zwischen dem Freistaat Sachsen und dem Freistaat Thüringen über Zweckverbände, Zweckvereinbarungen sowie kommunale Arbeitsgemeinschaften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Staatsvertrag tritt an dem Tage in Kraft, der auf den Austausch der Ratifikationsurkunden folgt.</w:t>
      </w:r>
    </w:p>
    <w:p>
      <w:r>
        <w:t xml:space="preserve">Dresden, den 15. 5. 1997</w:t>
      </w:r>
    </w:p>
    <w:p>
      <w:r>
        <w:t xml:space="preserve">Für den Freistaat Sachsen</w:t>
      </w:r>
    </w:p>
    <w:p>
      <w:r>
        <w:t xml:space="preserve">Prof. Dr. Kurt Biedenkopf</w:t>
      </w:r>
    </w:p>
    <w:p>
      <w:r>
        <w:t xml:space="preserve">Ministerpräsident</w:t>
      </w:r>
    </w:p>
    <w:p>
      <w:r>
        <w:t xml:space="preserve">Erfurt, den 30. 4. 1997</w:t>
      </w:r>
    </w:p>
    <w:p>
      <w:r>
        <w:t xml:space="preserve">Für den Freistaat Thüringen</w:t>
      </w:r>
    </w:p>
    <w:p>
      <w:r>
        <w:t xml:space="preserve">Dr. Bernhard Vogel</w:t>
      </w:r>
    </w:p>
    <w:p>
      <w:r>
        <w:t xml:space="preserve">Ministerpräsident</w:t>
      </w:r>
    </w:p>
    <w:p>
      <w:r>
        <w:rPr>
          <w:color w:val="555555"/>
          <w:sz w:val="17"/>
        </w:rPr>
        <w:t xml:space="preserve">Zitiervorschlag: Artikel 6 SN-5363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https://recht.nulegal.eu/gesetze/SN-5363/6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