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SN-5363 (Sachsen)</w:t>
      </w:r>
    </w:p>
    <w:p>
      <w:r>
        <w:rPr>
          <w:color w:val="555555"/>
          <w:sz w:val="18"/>
        </w:rPr>
        <w:t xml:space="preserve">Staatsvertrag zwischen dem Freistaat Sachsen und dem Freistaat Thüringen über Zweckverbände, Zweckvereinbarungen sowie kommunale Arbeitsgemeinschaften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vertragschließenden Ländern können zur gemeinsamen Wahrnehmung öffentlicher Aufgaben über die Landesgrenze hinweg nach Maßgabe der Artikel 2 und 3 Zweckverbände gebildet, Zweckvereinbarungen abgeschlossen sowie kommunale Arbeitsgemeinschaften vereinbart oder ausgedehnt werden.</w:t>
      </w:r>
    </w:p>
    <w:p>
      <w:r>
        <w:rPr>
          <w:color w:val="555555"/>
          <w:sz w:val="17"/>
        </w:rPr>
        <w:t xml:space="preserve">Zitiervorschlag: Artikel 1 SN-5363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