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SN-5362 (Sachsen)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Dieser Staatsvertrag tritt nach Zustimmung der verfassungsmäßig zuständigen Organe der vertragschließenden Länder an dem Tage in Kraft, der auf den Austausch der Ratifikationsurkunden folgt.</w:t>
      </w:r>
    </w:p>
    <w:p>
      <w:r>
        <w:t xml:space="preserve">Bonn, den 14. Dezember 1995</w:t>
      </w:r>
    </w:p>
    <w:p>
      <w:r>
        <w:t xml:space="preserve">Für den Freistaat Sachsen</w:t>
      </w:r>
    </w:p>
    <w:p>
      <w:r>
        <w:t xml:space="preserve">Prof. Dr. Kurt Biedenkopf</w:t>
      </w:r>
    </w:p>
    <w:p>
      <w:r>
        <w:t xml:space="preserve">Ministerpräsident</w:t>
      </w:r>
    </w:p>
    <w:p>
      <w:r>
        <w:t xml:space="preserve">Für den Freistaat Bayern</w:t>
      </w:r>
    </w:p>
    <w:p>
      <w:r>
        <w:t xml:space="preserve">Dr. Edmund Stoiber</w:t>
      </w:r>
    </w:p>
    <w:p>
      <w:r>
        <w:t xml:space="preserve">Ministerpräsident</w:t>
      </w:r>
    </w:p>
    <w:p>
      <w:r>
        <w:rPr>
          <w:color w:val="555555"/>
          <w:sz w:val="17"/>
        </w:rPr>
        <w:t xml:space="preserve">Zitiervorschlag: Artikel 5 SN-5362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https://recht.nulegal.eu/gesetze/SN-5362/5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