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4 SN-5362 (Sachsen)</w:t>
      </w:r>
    </w:p>
    <w:p>
      <w:r>
        <w:rPr>
          <w:color w:val="555555"/>
          <w:sz w:val="18"/>
        </w:rPr>
        <w:t xml:space="preserve">Staatsvertrag zwischen dem Freistaat Bayern und dem Freistaat Sachsen über Zweckverbände und Zweckvereinbarungen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Die vertragschließenden Länder können diesen Staatsvertrag mit einer Frist von einem Jahr zum Ende eines Kalenderjahres kündigen. Die Artikel 2 und 3 gelten jedoch für die vor dem Außerkrafttreten des Staatsvertrages rechtswirksam zustande gekommenen Zweckverbände und Zweckvereinbarungen weiter.</w:t>
      </w:r>
    </w:p>
    <w:p>
      <w:r>
        <w:rPr>
          <w:color w:val="555555"/>
          <w:sz w:val="17"/>
        </w:rPr>
        <w:t xml:space="preserve">Zitiervorschlag: Artikel 4 SN-5362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https://recht.nulegal.eu/gesetze/SN-5362/4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