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SN-5362 (Sachsen)</w:t>
      </w:r>
    </w:p>
    <w:p>
      <w:r>
        <w:rPr>
          <w:color w:val="555555"/>
          <w:sz w:val="18"/>
        </w:rPr>
        <w:t xml:space="preserve">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Für Zweckverbände nach Artikel 1 gilt das Recht des Landes, in dem der Zweckverband seinen Sitz hat oder erhält.</w:t>
      </w:r>
    </w:p>
    <w:p>
      <w:r>
        <w:t xml:space="preserve">(2) Für Zweckvereinbarungen nach Artikel 1 gilt das Recht des Landes, dem die Körperschaft angehört, der durch die Vereinbarung die Erfüllung der Aufgabe und die dafür notwendigen Befugnisse übertragen worden sind oder werden sollen.</w:t>
      </w:r>
    </w:p>
    <w:p>
      <w:r>
        <w:rPr>
          <w:color w:val="555555"/>
          <w:sz w:val="17"/>
        </w:rPr>
        <w:t xml:space="preserve">Zitiervorschlag: Artikel 2 SN-5362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