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SN-5361 (Sachsen)</w:t>
      </w:r>
    </w:p>
    <w:p>
      <w:r>
        <w:rPr>
          <w:color w:val="555555"/>
          <w:sz w:val="18"/>
        </w:rPr>
        <w:t xml:space="preserve">Staatsvertrag zwischen dem Freistaat Sachsen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vertragschließenden Länder können diesen Staatsvertrag mit einer Frist von einem Jahr zum Ende eines Kalenderjahres kündigen. Die Artikel 2 bis 4 gelten jedoch für die vor dem Außerkrafttreten des Staatsvertrages rechtswirksam zustande gekommenen Zweckverbände und Zweckvereinbarungen weiter.</w:t>
      </w:r>
    </w:p>
    <w:p>
      <w:r>
        <w:rPr>
          <w:color w:val="555555"/>
          <w:sz w:val="17"/>
        </w:rPr>
        <w:t xml:space="preserve">Zitiervorschlag: Artikel 5 SN-5361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https://recht.nulegal.eu/gesetze/SN-5361/5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