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SN-5361 (Sachsen)</w:t>
      </w:r>
    </w:p>
    <w:p>
      <w:r>
        <w:rPr>
          <w:color w:val="555555"/>
          <w:sz w:val="18"/>
        </w:rPr>
        <w:t xml:space="preserve">Staatsvertrag zwischen dem Freistaat Sachsen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Zweckverbände gilt das Recht des Landes, in dem der Zweckverband seinen Sitz hat oder haben soll.</w:t>
      </w:r>
    </w:p>
    <w:p>
      <w:r>
        <w:t xml:space="preserve">(2) Für Zweckvereinbarungen gilt das Recht des Landes, dem die Körperschaft angehört, der durch die Vereinbarung die Erfüllung der Aufgabe übertragen worden ist oder werden soll.</w:t>
      </w:r>
    </w:p>
    <w:p>
      <w:r>
        <w:rPr>
          <w:color w:val="555555"/>
          <w:sz w:val="17"/>
        </w:rPr>
        <w:t xml:space="preserve">Zitiervorschlag: Artikel 2 SN-5361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