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6 SN-5360 (Sachsen) — Aufgaben des Stiftungsrates</w:t>
      </w:r>
    </w:p>
    <w:p>
      <w:r>
        <w:rPr>
          <w:color w:val="555555"/>
          <w:sz w:val="18"/>
        </w:rPr>
        <w:t xml:space="preserve">Staatsvertrag zwischen dem Land Brandenburg und dem Freistaat Sachsen über die Errichtung der „Stiftung für das sorbische Volk“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Stiftungsrat entscheidet in allen Angelegenheiten der Stiftung, soweit dieser Staatsvertrag nicht ausdrücklich die Zuständigkeit des Direktors vorsieht.</w:t>
      </w:r>
    </w:p>
    <w:p>
      <w:r>
        <w:t xml:space="preserve">(2) Der Stiftungsrat erläßt eine Satzung nach Maßgabe dieses Staatsvertrages. Die Satzung bedarf der Genehmigung der Aufsichtsbehörde.</w:t>
      </w:r>
    </w:p>
    <w:p>
      <w:r>
        <w:t xml:space="preserve">(3) Der Stiftungsrat entscheidet insbesondere über</w:t>
      </w:r>
    </w:p>
    <w:p>
      <w:r>
        <w:t xml:space="preserve">1. die Bestellung und den Widerruf der Bestellung des Direktors,</w:t>
      </w:r>
    </w:p>
    <w:p>
      <w:r>
        <w:t xml:space="preserve">2. die Feststellung des Haushaltsplanes und der Finanzplanung,</w:t>
      </w:r>
    </w:p>
    <w:p>
      <w:r>
        <w:t xml:space="preserve">3. die Entlastung des Direktors,</w:t>
      </w:r>
    </w:p>
    <w:p>
      <w:r>
        <w:t xml:space="preserve">4. die Satzung der Stiftung.</w:t>
      </w:r>
    </w:p>
    <w:p>
      <w:r>
        <w:t xml:space="preserve">(4) Der Stiftungsrat überwacht die Geschäftsführung des Direktors.</w:t>
      </w:r>
    </w:p>
    <w:p>
      <w:r>
        <w:rPr>
          <w:color w:val="555555"/>
          <w:sz w:val="17"/>
        </w:rPr>
        <w:t xml:space="preserve">Zitiervorschlag: Artikel 6 SN-5360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https://recht.nulegal.eu/gesetze/SN-5360/6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