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SN-5360 (Sachsen) — Stiftungszweck</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Sachsen</w:t>
      </w:r>
    </w:p>
    <w:p>
      <w:r>
        <w:rPr>
          <w:color w:val="555555"/>
          <w:sz w:val="18"/>
        </w:rPr>
        <w:t xml:space="preserve">Stand: 26.08.2026 (konsolidierte Textfassung, kein amtliches Inkrafttretensdatum)</w:t>
      </w:r>
    </w:p>
    <w:p>
      <w:r>
        <w:t xml:space="preserve">(1) Zweck der Stiftung ist die Pflege und Förderung sorbischer Sprache und Kultur als Ausdruck der Identität des sorbischen Volkes.</w:t>
      </w:r>
    </w:p>
    <w:p>
      <w:r>
        <w:t xml:space="preserve">(2) Der Stiftungszweck wird insbesondere verwirklicht durch</w:t>
      </w:r>
    </w:p>
    <w:p>
      <w:r>
        <w:t xml:space="preserve">1. die Förderung von Einrichtungen der Kunst-, Kultur- und Heimatpflege der Sorben;</w:t>
      </w:r>
    </w:p>
    <w:p>
      <w:r>
        <w:t xml:space="preserve">2. die Förderung von und die Mitwirkung bei Vorhaben der Dokumentation, Publikation und Präsentation sorbischer Kunst und Kultur;</w:t>
      </w:r>
    </w:p>
    <w:p>
      <w:r>
        <w:t xml:space="preserve">3. die Förderung der Bewahrung und Fortentwicklung der sorbischen Sprache und kulturellen Identität auch in sorbischen Bildungs- und Wissenschaftseinrichtungen und solchen, die diesen Zielen dienen;</w:t>
      </w:r>
    </w:p>
    <w:p>
      <w:r>
        <w:t xml:space="preserve">4. die Förderung der Bewahrung der sorbischen Identität in der Öffentlichkeit, im Berufsleben und im Zusammenleben der sorbischen und nichtsorbischen Bevölkerung;</w:t>
      </w:r>
    </w:p>
    <w:p>
      <w:r>
        <w:t xml:space="preserve">5. die Förderung von Projekten und Vorhaben, die der Völkerverständigung und Zusammenarbeit mit anderen Volksgruppen und nationalen Minderheiten in Europa sowie die Pflege der historisch gewachsenen Verbindungen der Sorben zu den slawischen Nachbarn im Sinne des Brückenschlagens zwischen Deutschland und Mittel- und Osteuropa dienen;</w:t>
      </w:r>
    </w:p>
    <w:p>
      <w:r>
        <w:t xml:space="preserve">6. die Mitwirkung bei der Gestaltung staatlicher und anderer Programme, die den Stiftungszweck berühren.</w:t>
      </w:r>
    </w:p>
    <w:p>
      <w:r>
        <w:t xml:space="preserve">(3) Die Stiftung kann Träger von Einrichtungen sein, die Aufgaben gemäß Absatz 2 wahrnehmen.</w:t>
      </w:r>
    </w:p>
    <w:p>
      <w:r>
        <w:t xml:space="preserve">(4) Die Stiftung verfolgt ausschließlich und unmittelbar gemeinnützige Zwecke im Sinne des Abschnitts „steuerbegünstigte Zwecke“ der Abgabenordnung .</w:t>
      </w:r>
    </w:p>
    <w:p>
      <w:r>
        <w:rPr>
          <w:color w:val="555555"/>
          <w:sz w:val="17"/>
        </w:rPr>
        <w:t xml:space="preserve">Zitiervorschlag: Artikel 2 SN-5360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