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Artikel 16 SN-5360 (Sachsen) — Inkrafttreten</w:t>
      </w:r>
    </w:p>
    <w:p>
      <w:r>
        <w:rPr>
          <w:color w:val="555555"/>
          <w:sz w:val="18"/>
        </w:rPr>
        <w:t xml:space="preserve">Staatsvertrag zwischen dem Land Brandenburg und dem Freistaat Sachsen über die Errichtung der „Stiftung für das sorbische Volk“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Dieser Staatsvertrag bedarf der Zustimmung der verfassungsmäßig zuständigen Organe der Vertragsparteien. Die Ratifikationsurkunden werden sobald wie möglich ausgetauscht.</w:t>
      </w:r>
    </w:p>
    <w:p>
      <w:r>
        <w:t xml:space="preserve">(2) Dieser Staatsvertrag tritt am ersten Tag des auf den Austausch der Ratifikationsurkunden folgenden Monats in Kraft.</w:t>
      </w:r>
    </w:p>
    <w:p>
      <w:r>
        <w:t xml:space="preserve">Schleife, den 28. August 1998</w:t>
      </w:r>
    </w:p>
    <w:p>
      <w:r>
        <w:t xml:space="preserve">Für den Freistaat Sachsen</w:t>
      </w:r>
    </w:p>
    <w:p>
      <w:r>
        <w:t xml:space="preserve">Der Ministerpräsident</w:t>
      </w:r>
    </w:p>
    <w:p>
      <w:r>
        <w:t xml:space="preserve">Prof. Dr. Kurt Biedenkopf</w:t>
      </w:r>
    </w:p>
    <w:p>
      <w:r>
        <w:t xml:space="preserve">Für das Land Brandenburg</w:t>
      </w:r>
    </w:p>
    <w:p>
      <w:r>
        <w:t xml:space="preserve">Der Ministerpräsident</w:t>
      </w:r>
    </w:p>
    <w:p>
      <w:r>
        <w:t xml:space="preserve">Dr. Manfred Stolpe</w:t>
      </w:r>
    </w:p>
    <w:p>
      <w:r>
        <w:rPr>
          <w:color w:val="555555"/>
          <w:sz w:val="17"/>
        </w:rPr>
        <w:t xml:space="preserve">Zitiervorschlag: Artikel 16 SN-5360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https://recht.nulegal.eu/gesetze/SN-5360/16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