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SN-5359 (Sachsen)</w:t>
      </w:r>
    </w:p>
    <w:p>
      <w:r>
        <w:rPr>
          <w:color w:val="555555"/>
          <w:sz w:val="18"/>
        </w:rPr>
        <w:t xml:space="preserve">Staatsvertrag über die Auflösung der Akademie der Künste der ehemaligen Deutschen Demokratischen Republik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vertragschließenden Länder beschließen, die Akademie der Künste der ehemaligen Deutschen Demokratischen Republik aufzulösen. Die Auflösung findet zu dem Zeitpunkt statt, an dem dieser Staatsvertrag in Kraft tritt.</w:t>
      </w:r>
    </w:p>
    <w:p>
      <w:r>
        <w:rPr>
          <w:color w:val="555555"/>
          <w:sz w:val="17"/>
        </w:rPr>
        <w:t xml:space="preserve">Zitiervorschlag: § 2 SN-5359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