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5 SN-5355 (Sachsen) — Geltungsdauer, Kündigung</w:t>
      </w:r>
    </w:p>
    <w:p>
      <w:r>
        <w:rPr>
          <w:color w:val="555555"/>
          <w:sz w:val="18"/>
        </w:rPr>
        <w:t xml:space="preserve">Staatsvertrag über die Bildung einer gemeinsamen Einrichtung nach § 6 Abs. 1 Satz 7 des Abfallverbringungsgesetzes</w:t>
      </w:r>
    </w:p>
    <w:p>
      <w:r>
        <w:rPr>
          <w:color w:val="555555"/>
          <w:sz w:val="18"/>
        </w:rPr>
        <w:t xml:space="preserve">Landesrecht Sachsen</w:t>
      </w:r>
    </w:p>
    <w:p>
      <w:r>
        <w:rPr>
          <w:color w:val="555555"/>
          <w:sz w:val="18"/>
        </w:rPr>
        <w:t xml:space="preserve">Stand: 27.08.2026 (konsolidierte Textfassung, kein amtliches Inkrafttretensdatum)</w:t>
      </w:r>
    </w:p>
    <w:p>
      <w:r>
        <w:t xml:space="preserve">(1) Dieser Staatsvertrag gilt für unbestimmte Zeit. Er kann von jedem Land durch schriftliche Erklärung gegenüber den übrigen Ländern zum Schluss des Kalenderjahres mit einer Frist von einem Jahr gekündigt werden. Der Staatsvertrag tritt mit dem Wirksamwerden dieser Kündigung mit Wirkung für alle Vertragsparteien außer Kraft.</w:t>
      </w:r>
    </w:p>
    <w:p>
      <w:r>
        <w:t xml:space="preserve">(2) Die Länder verpflichten sich, dem Land Baden-Württemberg auch nach Außer-Kraft-Treten des Staatsvertrages die vor diesem Zeitpunkt entstandenen Aufwendungen nach Maßgabe des Artikels 4 zu erstatten.</w:t>
      </w:r>
    </w:p>
    <w:p>
      <w:r>
        <w:rPr>
          <w:color w:val="555555"/>
          <w:sz w:val="17"/>
        </w:rPr>
        <w:t xml:space="preserve">Zitiervorschlag: Artikel 5 SN-5355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https://recht.nulegal.eu/gesetze/SN-5355/5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